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c4587"/>
          <w:sz w:val="28"/>
          <w:szCs w:val="28"/>
          <w:rtl w:val="0"/>
        </w:rPr>
        <w:t xml:space="preserve">Harsh Desai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1"/>
          <w:szCs w:val="31"/>
          <w:rtl w:val="0"/>
        </w:rPr>
        <w:tab/>
        <w:t xml:space="preserve">       </w:t>
        <w:tab/>
        <w:tab/>
        <w:tab/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harshdes@umich.edu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+1-734-548-1080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|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LinkedIn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|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harshddes.github.io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tabs>
          <w:tab w:val="left" w:leader="none" w:pos="8040"/>
        </w:tabs>
        <w:spacing w:before="100" w:line="276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EDUCATION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10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c4587"/>
          <w:sz w:val="20"/>
          <w:szCs w:val="20"/>
          <w:rtl w:val="0"/>
        </w:rPr>
        <w:t xml:space="preserve">University of Michigan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c4587"/>
          <w:sz w:val="20"/>
          <w:szCs w:val="20"/>
          <w:rtl w:val="0"/>
        </w:rPr>
        <w:t xml:space="preserve">  Ann Arbor, MI, USA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Master of Engineering, Space Systems Engineering | GPA: 3.79/4.0</w:t>
        <w:tab/>
        <w:tab/>
        <w:tab/>
        <w:tab/>
        <w:t xml:space="preserve">          August 2024–December 2025</w:t>
      </w:r>
    </w:p>
    <w:p w:rsidR="00000000" w:rsidDel="00000000" w:rsidP="00000000" w:rsidRDefault="00000000" w:rsidRPr="00000000" w14:paraId="00000004">
      <w:pPr>
        <w:widowControl w:val="0"/>
        <w:spacing w:before="100" w:line="276" w:lineRule="auto"/>
        <w:rPr>
          <w:rFonts w:ascii="Times New Roman" w:cs="Times New Roman" w:eastAsia="Times New Roman" w:hAnsi="Times New Roman"/>
          <w:b w:val="1"/>
          <w:bCs w:val="1"/>
          <w:color w:val="1c4587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c4587"/>
          <w:sz w:val="20"/>
          <w:szCs w:val="20"/>
          <w:rtl w:val="0"/>
        </w:rPr>
        <w:t xml:space="preserve">Vellore Institute of Technology (VIT)</w:t>
        <w:tab/>
        <w:tab/>
        <w:tab/>
        <w:tab/>
        <w:tab/>
        <w:tab/>
        <w:t xml:space="preserve">              </w:t>
        <w:tab/>
        <w:tab/>
        <w:tab/>
        <w:t xml:space="preserve">      Vellore, India</w:t>
      </w:r>
    </w:p>
    <w:p w:rsidR="00000000" w:rsidDel="00000000" w:rsidP="00000000" w:rsidRDefault="00000000" w:rsidRPr="00000000" w14:paraId="00000005">
      <w:pPr>
        <w:widowControl w:val="0"/>
        <w:spacing w:before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Bachelor of Technology, Mechanical Engineering | GPA: 7.78/10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ab/>
        <w:tab/>
        <w:tab/>
        <w:t xml:space="preserve">   </w:t>
        <w:tab/>
        <w:t xml:space="preserve">        </w:t>
        <w:tab/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July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2019–July 2023</w:t>
      </w:r>
    </w:p>
    <w:p w:rsidR="00000000" w:rsidDel="00000000" w:rsidP="00000000" w:rsidRDefault="00000000" w:rsidRPr="00000000" w14:paraId="00000006">
      <w:pPr>
        <w:pBdr>
          <w:bottom w:color="000000" w:space="1" w:sz="4" w:val="single"/>
        </w:pBdr>
        <w:tabs>
          <w:tab w:val="left" w:leader="none" w:pos="8040"/>
        </w:tabs>
        <w:spacing w:before="140" w:line="276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RESEARCH EXPERIENCE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0" w:line="276" w:lineRule="auto"/>
        <w:ind w:left="1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Space Physics Research Lab, University of Michigan</w:t>
        <w:tab/>
        <w:tab/>
        <w:tab/>
        <w:tab/>
        <w:tab/>
        <w:t xml:space="preserve">                      Ann Arbor, MI, USA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76" w:lineRule="auto"/>
        <w:ind w:left="10" w:firstLine="0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Research Assistant</w:t>
        <w:tab/>
        <w:t xml:space="preserve">          </w:t>
        <w:tab/>
        <w:tab/>
        <w:tab/>
        <w:tab/>
        <w:tab/>
        <w:t xml:space="preserve">   </w:t>
        <w:tab/>
        <w:t xml:space="preserve">      </w:t>
        <w:tab/>
        <w:tab/>
        <w:tab/>
        <w:t xml:space="preserve">      February 2026–Present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Project: Lunar Vehicle Active Charge Control System (LVACCS) Testing Rig Characterization | Supervisor: Dr. Omar Leon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Validated high-voltage power interface controls through rigorous failure mode analysis of a 1300V discharge box to ensure hardware safety during high-throughput plasma source characterization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Developed Python-based GUIs that reduced manual test interactions from 15 steps to 5 and automated plasma ignition sequences, streamlining remote control data logging and power supplies for experimental repeatability, preparing the facility for testing Spacecraft Charging Device hardware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Characterized remote Hollow Cathode ignition workflows to improve test repeatability, achieved 98.6% data synchronization across data streams and saved 15 minutes of post-run processing for high-fidelity predictive plasma modeling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" w:line="276" w:lineRule="auto"/>
        <w:ind w:right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Summer Intern</w:t>
        <w:tab/>
        <w:tab/>
        <w:tab/>
        <w:tab/>
        <w:tab/>
        <w:tab/>
        <w:tab/>
        <w:tab/>
        <w:tab/>
        <w:tab/>
        <w:tab/>
        <w:t xml:space="preserve">          May 2025–July 2025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Developed “TestBedz”, a full-stack web platform for spacecraft qualification testing that collapses multi-round requirement negotiations into structured submissions for thermal-vacuum, vibration, and electromagnetic interference (EMI) testing cycles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Facilitated requirement flowdown for satellite hardware testing by implementing a role-based matching platform that ensures compatibility between hardware profiles and facility operational limits for 6 test-type profiles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Climate and Space Sciences and Engineering(CLaSP),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University of Michigan</w:t>
        <w:tab/>
        <w:tab/>
        <w:tab/>
        <w:t xml:space="preserve">        Ann Arbor, MI, USA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Research Assistant | Supervisor: Dr. Cheng Li</w:t>
        <w:tab/>
        <w:tab/>
        <w:tab/>
        <w:tab/>
        <w:tab/>
        <w:tab/>
        <w:t xml:space="preserve">     September 2025–December 2025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Project: Uranian Tropospheric Cloud Resolving Model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76" w:lineRule="auto"/>
        <w:ind w:left="360" w:right="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Trained in running cloud-resolving(CRM) simulations on Great Lakes HPC cluster, exploring mechanistic interpretation of sensitivity to methane abundance/profile, latent-heating and microphysics settings, and gravity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Investigated interactions between latent heating and sedimentation by simulating Uranian cloud behavior by exploring the coupled effects of phase-change thermodynamics and sedimentation using vertical velocity and methane condensation diagnostics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76" w:lineRule="auto"/>
        <w:ind w:right="0"/>
        <w:jc w:val="both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Solar and Heliospheric Research Group, University of Michigan</w:t>
        <w:tab/>
        <w:tab/>
        <w:tab/>
        <w:tab/>
        <w:tab/>
        <w:t xml:space="preserve">        Ann Arbor, MI, USA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Graduate Student Research Assistant | Advisor: Prof. Stefano Livi</w:t>
        <w:tab/>
        <w:tab/>
        <w:tab/>
        <w:tab/>
        <w:t xml:space="preserve">         January 2025–December 2025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Project: FPGA Design Implementation for Solid-State Detector (SSD) Readout Chain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76" w:lineRule="auto"/>
        <w:ind w:left="360" w:right="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Developed a digital readout roadmap for solid-state detectors by sizing components against scientific detection targets, bridging mechanical sensor design with high-speed programmable logic implementation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Simulated an increase in available pulse digitization rates from 1 MSPS to 125 MSPS to support high-fidelity particle energy resolution by integrating a Zmod ADC 1410 path into a Zynq-7000 programmable logic architecture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Achieved functional correlation between MATLAB golden models and Vivado co-simulations for high-speed digital signal processing paths using a Model-Based Design approach in MATLAB HDL Coder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Evaluated hardware timing limitations for a 125 MHz system clock by performing post-synthesis Register-Transfer Level (RTL) analysis, identifying path constraints (Worst Negative Slack failure) within the Zynq SoC architecture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100" w:lineRule="auto"/>
        <w:jc w:val="both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Climate and Space Sciences and Engineering(CLaSP), University of Michigan                                                Ann Arbor, MI, USA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Research Assistant | Supervisor: Dr. Mojtaba Akhavan-Tafti</w:t>
        <w:tab/>
        <w:tab/>
        <w:tab/>
        <w:tab/>
        <w:tab/>
        <w:tab/>
        <w:t xml:space="preserve">          May 2025–July 2025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Project: A multi-cadence Tsurutani-Smith (TS) directional-discontinuity analysis of the Rivera et al. PSP-Solar Orbiter conjunction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9"/>
        </w:numPr>
        <w:spacing w:before="100" w:line="276" w:lineRule="auto"/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Synchronized temporal alignments across three data cadences (1s, 10s, 60s) to identify solar-wind event matches by shifting Parker Solar Probe timestamps to correlate with Solar Orbiter observations using a Python-based process (pyspedas library)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9"/>
        </w:numPr>
        <w:spacing w:before="0" w:lineRule="auto"/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Quantified magnetic field mismatch metrics and structural evolution within solar-wind streams by implementing the  jump-detection methodology across the cadences and 180-second lags</w:t>
      </w:r>
    </w:p>
    <w:p w:rsidR="00000000" w:rsidDel="00000000" w:rsidP="00000000" w:rsidRDefault="00000000" w:rsidRPr="00000000" w14:paraId="0000001A">
      <w:pPr>
        <w:widowControl w:val="0"/>
        <w:spacing w:before="1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L3Harris and University of Michigan</w:t>
        <w:tab/>
        <w:tab/>
        <w:tab/>
        <w:tab/>
        <w:tab/>
        <w:tab/>
        <w:tab/>
        <w:tab/>
        <w:t xml:space="preserve">        Ann Arbor, MI, USA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Communications Lead, Uranian Orbiter and Probe Mission Study</w:t>
        <w:tab/>
        <w:tab/>
        <w:tab/>
        <w:tab/>
        <w:t xml:space="preserve">              September 2024–May 2025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spacing w:after="0" w:afterAutospacing="0" w:before="100" w:lineRule="auto"/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Led communications subsystem design for the mission, managing 15 requirements for DSN connectivity and fault tolerance through a high-fidelity requirements traceability matrix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spacing w:before="0" w:beforeAutospacing="0" w:lineRule="auto"/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Achieved a 16% ($450M) reduction in projected preliminary mission costs by conducting an architectural trade study through an orbiter-only spacecraft configuration using heritage five-instrument suite and by capping the payload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bottom w:color="000000" w:space="1" w:sz="4" w:val="single"/>
        </w:pBdr>
        <w:tabs>
          <w:tab w:val="left" w:leader="none" w:pos="8040"/>
        </w:tabs>
        <w:spacing w:before="1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ACADEMIC PROJECTS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1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Space Instrumentation Calibration &amp; Ion-Optics Series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Graduate Course: SPACE 571 | 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upervisor: Prof. Stefano Livi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  <w:tab/>
        <w:t xml:space="preserve">               July 2025–December 2025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6"/>
        </w:numPr>
        <w:spacing w:before="100" w:line="276" w:lineRule="auto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Optimized operating bias for Channel Electron Multipliers (CEM) by mapping pulse-height distributions and amplifier gains within a high-fidelity laboratory instrumentation calibration series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6"/>
        </w:numPr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Generated high-fidelity transmission functions to quantify energy resolution and angular acceptance for a cylindrical electrostatic analyzer (ESA) by extracting moments from energy-angle lab scan data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6"/>
        </w:numPr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Modeled ion-optical system metrics for an Einzel lens and Beam Expander geometries by using SIMION and SRIM simulations to calculate Full Width at Half Maximum values and filter responses</w:t>
      </w:r>
    </w:p>
    <w:p w:rsidR="00000000" w:rsidDel="00000000" w:rsidP="00000000" w:rsidRDefault="00000000" w:rsidRPr="00000000" w14:paraId="00000022">
      <w:pPr>
        <w:widowControl w:val="0"/>
        <w:spacing w:before="14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Spatial Ion-Electron Temperature Correlation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Graduate Course: SPACE 477 | Supervisor: Prof. Xianzhe Jia</w:t>
        <w:tab/>
        <w:tab/>
        <w:tab/>
        <w:tab/>
        <w:tab/>
        <w:tab/>
        <w:t xml:space="preserve">   January 2025–April 2025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3"/>
        </w:numPr>
        <w:spacing w:before="100" w:line="276" w:lineRule="auto"/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Evaluated energy equation resolution(Ion-Electron temperature comparison) within the Space Weather Modeling Framework by tracing ion spatial distributions across the magnetosheath using global multi-fluid Magnetohydrodynamics (MHD) models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3"/>
        </w:numPr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Characterized reconnection-driven heating by identifying peak electron temperature excursions during simulated shock events using high-fidelity (HYPERS) hybrid model to evaluate convective transport dominance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pBdr>
          <w:bottom w:color="000000" w:space="1" w:sz="4" w:val="single"/>
        </w:pBdr>
        <w:spacing w:after="0" w:before="140" w:lineRule="auto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y54z61fq79p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LEADERSHIP AND ACTIVITIES</w:t>
      </w:r>
    </w:p>
    <w:p w:rsidR="00000000" w:rsidDel="00000000" w:rsidP="00000000" w:rsidRDefault="00000000" w:rsidRPr="00000000" w14:paraId="00000026">
      <w:pPr>
        <w:widowControl w:val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CANSAT 2022 (NASA &amp; AAS)</w:t>
      </w:r>
    </w:p>
    <w:p w:rsidR="00000000" w:rsidDel="00000000" w:rsidP="00000000" w:rsidRDefault="00000000" w:rsidRPr="00000000" w14:paraId="00000027">
      <w:pPr>
        <w:widowControl w:val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Ranked 7th worldwide out of 42 teams (team’s best).</w:t>
        <w:tab/>
        <w:tab/>
        <w:tab/>
        <w:tab/>
        <w:tab/>
        <w:tab/>
        <w:t xml:space="preserve">                    August 2021–July 2022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0"/>
        </w:numPr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Engineered a 10 m unidirectional tether-deployment mechanism using a DC motor and custom worm-gear spool, enabling non-backdrivable load transfer and controlled descent of a 2 mm braided-nylon payload line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0"/>
        </w:numPr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Built a servo-actuated ejection and stabilization stack: elastic-lid release with torsion-spring lock for parachute deployment, plus a dual-servo 2-axis gimbal maintaining a fixed 45◦ downward south-facing camera vector</w:t>
      </w:r>
    </w:p>
    <w:p w:rsidR="00000000" w:rsidDel="00000000" w:rsidP="00000000" w:rsidRDefault="00000000" w:rsidRPr="00000000" w14:paraId="0000002A">
      <w:pPr>
        <w:widowControl w:val="0"/>
        <w:spacing w:before="14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Spaceport America Cup/International Rocketry Engineering Competition (IREC) in 2021 </w:t>
        <w:tab/>
        <w:tab/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br w:type="textWrapping"/>
        <w:t xml:space="preserve">Placed 23rd globally and 5th in Asia-Pacific </w:t>
        <w:tab/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April 2020–July 2021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Launched a Mach 0.9 solid-motor sounding rocket to a 10,000-foot target altitude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Developed an integrated flight simulator to optimize sounding rocket trajectories, incorporating computational fluid dynamics (CFD) back-end data into a student-researched and developed (SRAD) flight software suite</w:t>
      </w:r>
    </w:p>
    <w:p w:rsidR="00000000" w:rsidDel="00000000" w:rsidP="00000000" w:rsidRDefault="00000000" w:rsidRPr="00000000" w14:paraId="0000002D">
      <w:pPr>
        <w:widowControl w:val="0"/>
        <w:spacing w:before="14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CANSAT 2021 (NASA &amp; AAS)</w:t>
        <w:tab/>
        <w:tab/>
        <w:tab/>
        <w:tab/>
        <w:tab/>
        <w:tab/>
        <w:tab/>
        <w:tab/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br w:type="textWrapping"/>
        <w:t xml:space="preserve">Placed 13th globally and 7th in Asia-Pacific </w:t>
        <w:tab/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August 2020–July 2021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Design and simulation of the mono-wing payloads, implementing Blade element Theory, and complex transient CFD simulations for descent, for multi-parameter design optimization.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Engineered a real-time telemetry acquisition framework for an atmospheric re-entry vehicle by building custom ground control software to monitor dual maple seed-inspired payload deployments using MATLAB</w:t>
      </w:r>
    </w:p>
    <w:p w:rsidR="00000000" w:rsidDel="00000000" w:rsidP="00000000" w:rsidRDefault="00000000" w:rsidRPr="00000000" w14:paraId="00000030">
      <w:pPr>
        <w:pBdr>
          <w:bottom w:color="000000" w:space="1" w:sz="4" w:val="single"/>
        </w:pBdr>
        <w:tabs>
          <w:tab w:val="left" w:leader="none" w:pos="8040"/>
        </w:tabs>
        <w:spacing w:before="140" w:line="276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SKILLS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right="7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Programming Languages: Python, MATLAB (learning), Verilog (learning), VHDL (learning)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right="7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Tools: SIMION, SRIM, Amptek DPPMCA, FPGA Design Workflow, AMD Vivado, MATLAB HDL Coder &amp; DSP Toolbox, NI VISA(PyVISA and PyMeasure), SPENVIS, SWMF &amp; Magnetosphere-Ionosphere Models(MAGE, SWMF, HYPERS), Google Data Studio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right="7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Hardware:GPIB/IEEE-488, USB-serial, serial data logging, Vacuum Chamber Operation(CTI-Cryogenics Hi-Vac, Roughing pump: Operated at 1 mTorr), Keithley DAQs and SMUs, TDK Lambda PSUs, High Voltage Switching Operations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right="7" w:hanging="36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Mechanical Engineering Tools: ANSYS (GUI/TUI): Fluent, Mechanical; PyANSYS, OptiSlang, OpenFOAM, SolidWorks, Fusion 360, AutoCAD, Autodesk Inventor, SpaceClaim, MIDO, Xflr5, RocketPy, OpenRocket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bottom w:color="000000" w:space="1" w:sz="4" w:val="single"/>
        </w:pBdr>
        <w:spacing w:before="1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INTERESTS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Space Instrumentation, Plasma diagnostics instrumentation, DAQ systems and digitizers, HV test automation, Detector design and readout, Calibration traceability, Low-noise signal-chain reasoning, Testing and control workflows, Ion optics and detector characterization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617" w:top="554" w:left="713" w:right="66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3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5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7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9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1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3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5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7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9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100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108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115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224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linkedin.com/in/harshddes" TargetMode="External"/><Relationship Id="rId7" Type="http://schemas.openxmlformats.org/officeDocument/2006/relationships/hyperlink" Target="http://harshddes.github.i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